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98E4" w14:textId="77777777" w:rsidR="00DB4FB8" w:rsidRPr="001E1059" w:rsidRDefault="00DB4FB8" w:rsidP="00DB4FB8">
      <w:pPr>
        <w:pStyle w:val="BodyText"/>
        <w:shd w:val="clear" w:color="auto" w:fill="FFFFFF"/>
        <w:tabs>
          <w:tab w:val="left" w:pos="540"/>
          <w:tab w:val="left" w:pos="1260"/>
        </w:tabs>
        <w:spacing w:before="120" w:after="120"/>
        <w:rPr>
          <w:rFonts w:cs="Times New Roman"/>
          <w:sz w:val="24"/>
          <w:szCs w:val="24"/>
          <w:u w:val="single"/>
          <w:shd w:val="clear" w:color="auto" w:fill="FFFFFF"/>
        </w:rPr>
      </w:pPr>
      <w:r w:rsidRPr="001E1059">
        <w:rPr>
          <w:rFonts w:cs="Times New Roman"/>
          <w:sz w:val="24"/>
          <w:szCs w:val="24"/>
          <w:u w:val="single"/>
          <w:shd w:val="clear" w:color="auto" w:fill="FFFFFF"/>
        </w:rPr>
        <w:t>Scope of Responsibilities of Executive Committee</w:t>
      </w:r>
    </w:p>
    <w:p w14:paraId="60F6C1D4" w14:textId="77777777" w:rsidR="001E1059" w:rsidRPr="001E1059" w:rsidRDefault="001E1059" w:rsidP="001E1059">
      <w:pPr>
        <w:numPr>
          <w:ilvl w:val="0"/>
          <w:numId w:val="3"/>
        </w:numPr>
        <w:tabs>
          <w:tab w:val="clear" w:pos="720"/>
        </w:tabs>
        <w:ind w:left="360" w:hanging="280"/>
        <w:jc w:val="both"/>
        <w:rPr>
          <w:rFonts w:ascii="Times New Roman" w:hAnsi="Times New Roman" w:cs="Times New Roman"/>
          <w:spacing w:val="-2"/>
          <w:sz w:val="24"/>
          <w:szCs w:val="24"/>
        </w:rPr>
      </w:pPr>
      <w:r w:rsidRPr="001E1059">
        <w:rPr>
          <w:rFonts w:ascii="Times New Roman" w:hAnsi="Times New Roman" w:cs="Times New Roman"/>
          <w:spacing w:val="-2"/>
          <w:sz w:val="24"/>
          <w:szCs w:val="24"/>
        </w:rPr>
        <w:t>To operate and manage the business of the company in compliance with the company’s objectives, Memorandum of Association, policies, regulations, notifications, orders as well as the resolution of the Board of Directors and/or shareholders’ meeting.</w:t>
      </w:r>
    </w:p>
    <w:p w14:paraId="7576C18C" w14:textId="77777777" w:rsidR="001E1059" w:rsidRPr="001E1059" w:rsidRDefault="001E1059" w:rsidP="001E1059">
      <w:pPr>
        <w:numPr>
          <w:ilvl w:val="0"/>
          <w:numId w:val="3"/>
        </w:numPr>
        <w:tabs>
          <w:tab w:val="clear" w:pos="720"/>
        </w:tabs>
        <w:ind w:left="360" w:hanging="280"/>
        <w:jc w:val="both"/>
        <w:rPr>
          <w:rFonts w:ascii="Times New Roman" w:hAnsi="Times New Roman" w:cs="Times New Roman"/>
          <w:spacing w:val="-2"/>
          <w:sz w:val="24"/>
          <w:szCs w:val="24"/>
        </w:rPr>
      </w:pPr>
      <w:r w:rsidRPr="001E1059">
        <w:rPr>
          <w:rFonts w:ascii="Times New Roman" w:hAnsi="Times New Roman" w:cs="Times New Roman"/>
          <w:spacing w:val="-2"/>
          <w:sz w:val="24"/>
          <w:szCs w:val="24"/>
        </w:rPr>
        <w:t xml:space="preserve">To establish policies, business plan, directions, strategies, budget and the main organization structure and authority of each department within the company including the organization chart </w:t>
      </w:r>
      <w:proofErr w:type="gramStart"/>
      <w:r w:rsidRPr="001E1059">
        <w:rPr>
          <w:rFonts w:ascii="Times New Roman" w:hAnsi="Times New Roman" w:cs="Times New Roman"/>
          <w:spacing w:val="-2"/>
          <w:sz w:val="24"/>
          <w:szCs w:val="24"/>
        </w:rPr>
        <w:t>in order to</w:t>
      </w:r>
      <w:proofErr w:type="gramEnd"/>
      <w:r w:rsidRPr="001E1059">
        <w:rPr>
          <w:rFonts w:ascii="Times New Roman" w:hAnsi="Times New Roman" w:cs="Times New Roman"/>
          <w:spacing w:val="-2"/>
          <w:sz w:val="24"/>
          <w:szCs w:val="24"/>
        </w:rPr>
        <w:t xml:space="preserve"> propose to the Board of Directors for its consideration and approval as well as to monitor and follow up the results of company operations to be in accordance with policies.</w:t>
      </w:r>
    </w:p>
    <w:p w14:paraId="67EC0866" w14:textId="77777777" w:rsidR="001E1059" w:rsidRPr="001E1059" w:rsidRDefault="001E1059" w:rsidP="001E1059">
      <w:pPr>
        <w:pStyle w:val="AODocTxt"/>
        <w:numPr>
          <w:ilvl w:val="0"/>
          <w:numId w:val="3"/>
        </w:numPr>
        <w:tabs>
          <w:tab w:val="clear" w:pos="720"/>
        </w:tabs>
        <w:spacing w:before="0" w:line="240" w:lineRule="auto"/>
        <w:ind w:left="360" w:hanging="280"/>
        <w:jc w:val="both"/>
        <w:rPr>
          <w:rFonts w:cs="Times New Roman"/>
          <w:spacing w:val="-4"/>
          <w:sz w:val="24"/>
          <w:szCs w:val="24"/>
        </w:rPr>
      </w:pPr>
      <w:r w:rsidRPr="001E1059">
        <w:rPr>
          <w:rFonts w:cs="Times New Roman"/>
          <w:spacing w:val="-4"/>
          <w:sz w:val="24"/>
          <w:szCs w:val="24"/>
        </w:rPr>
        <w:t>To be eligible to do the following bank transactions and to report these transactions to the Board of Directors at the next board meeting following execution.</w:t>
      </w:r>
    </w:p>
    <w:p w14:paraId="650B2AA9" w14:textId="77777777" w:rsidR="001E1059" w:rsidRPr="001E1059" w:rsidRDefault="001E1059" w:rsidP="001E1059">
      <w:pPr>
        <w:pStyle w:val="AODocTxt"/>
        <w:numPr>
          <w:ilvl w:val="1"/>
          <w:numId w:val="3"/>
        </w:numPr>
        <w:tabs>
          <w:tab w:val="clear" w:pos="1440"/>
        </w:tabs>
        <w:spacing w:before="0" w:line="240" w:lineRule="auto"/>
        <w:ind w:left="1080" w:hanging="420"/>
        <w:jc w:val="both"/>
        <w:rPr>
          <w:rFonts w:cs="Times New Roman"/>
          <w:spacing w:val="-2"/>
          <w:sz w:val="24"/>
          <w:szCs w:val="24"/>
        </w:rPr>
      </w:pPr>
      <w:r w:rsidRPr="001E1059">
        <w:rPr>
          <w:rFonts w:cs="Times New Roman"/>
          <w:spacing w:val="-2"/>
          <w:sz w:val="24"/>
          <w:szCs w:val="24"/>
        </w:rPr>
        <w:t xml:space="preserve">Open or close bank accounts.  </w:t>
      </w:r>
    </w:p>
    <w:p w14:paraId="78708E07" w14:textId="77777777" w:rsidR="001E1059" w:rsidRPr="001E1059" w:rsidRDefault="001E1059" w:rsidP="001E1059">
      <w:pPr>
        <w:pStyle w:val="AODocTxt"/>
        <w:numPr>
          <w:ilvl w:val="1"/>
          <w:numId w:val="3"/>
        </w:numPr>
        <w:tabs>
          <w:tab w:val="clear" w:pos="1440"/>
        </w:tabs>
        <w:spacing w:before="0" w:line="240" w:lineRule="auto"/>
        <w:ind w:left="1080" w:hanging="420"/>
        <w:jc w:val="both"/>
        <w:rPr>
          <w:rFonts w:cs="Times New Roman"/>
          <w:spacing w:val="-6"/>
          <w:sz w:val="24"/>
          <w:szCs w:val="24"/>
        </w:rPr>
      </w:pPr>
      <w:proofErr w:type="gramStart"/>
      <w:r w:rsidRPr="001E1059">
        <w:rPr>
          <w:rFonts w:cs="Times New Roman"/>
          <w:spacing w:val="-6"/>
          <w:sz w:val="24"/>
          <w:szCs w:val="24"/>
        </w:rPr>
        <w:t>Enter into</w:t>
      </w:r>
      <w:proofErr w:type="gramEnd"/>
      <w:r w:rsidRPr="001E1059">
        <w:rPr>
          <w:rFonts w:cs="Times New Roman"/>
          <w:spacing w:val="-6"/>
          <w:sz w:val="24"/>
          <w:szCs w:val="24"/>
        </w:rPr>
        <w:t xml:space="preserve"> any contract which is part of the company's normal course of business and/or any other transactions with banks or other financial institution for a total combined amount not exceeding USD 50 million or the equivalent in any other currencies per bank. In cases where there is a need to use any company assets as collateral to support banking facilities, approval by the Board of Directors must be obtained.</w:t>
      </w:r>
    </w:p>
    <w:p w14:paraId="11058D52" w14:textId="77777777" w:rsidR="001E1059" w:rsidRPr="001E1059" w:rsidRDefault="001E1059" w:rsidP="001E1059">
      <w:pPr>
        <w:pStyle w:val="AODocTxt"/>
        <w:numPr>
          <w:ilvl w:val="1"/>
          <w:numId w:val="3"/>
        </w:numPr>
        <w:tabs>
          <w:tab w:val="clear" w:pos="1440"/>
        </w:tabs>
        <w:spacing w:before="0" w:line="240" w:lineRule="auto"/>
        <w:ind w:left="1080" w:hanging="420"/>
        <w:jc w:val="both"/>
        <w:rPr>
          <w:rFonts w:cs="Times New Roman"/>
          <w:spacing w:val="-2"/>
          <w:sz w:val="24"/>
          <w:szCs w:val="24"/>
        </w:rPr>
      </w:pPr>
      <w:r w:rsidRPr="001E1059">
        <w:rPr>
          <w:rFonts w:cs="Times New Roman"/>
          <w:spacing w:val="-2"/>
          <w:sz w:val="24"/>
          <w:szCs w:val="24"/>
        </w:rPr>
        <w:t>Issue corporate guarantee to support banking facilities granted to subsidiaries for a total amount not exceeding USD 50 million or the equivalent in any other currencies per company.</w:t>
      </w:r>
    </w:p>
    <w:p w14:paraId="1D0B3020" w14:textId="77777777" w:rsidR="001E1059" w:rsidRPr="001E1059" w:rsidRDefault="001E1059" w:rsidP="001E1059">
      <w:pPr>
        <w:pStyle w:val="AODocTxt"/>
        <w:numPr>
          <w:ilvl w:val="1"/>
          <w:numId w:val="3"/>
        </w:numPr>
        <w:tabs>
          <w:tab w:val="clear" w:pos="1440"/>
        </w:tabs>
        <w:spacing w:before="0" w:line="240" w:lineRule="auto"/>
        <w:ind w:left="1080" w:hanging="420"/>
        <w:jc w:val="both"/>
        <w:rPr>
          <w:rFonts w:cs="Times New Roman"/>
          <w:spacing w:val="-2"/>
          <w:sz w:val="24"/>
          <w:szCs w:val="24"/>
        </w:rPr>
      </w:pPr>
      <w:r w:rsidRPr="001E1059">
        <w:rPr>
          <w:rFonts w:cs="Times New Roman"/>
          <w:spacing w:val="-2"/>
          <w:sz w:val="24"/>
          <w:szCs w:val="24"/>
        </w:rPr>
        <w:t xml:space="preserve">Renew banking facilities without any limit. </w:t>
      </w:r>
    </w:p>
    <w:p w14:paraId="5141EAFB" w14:textId="77777777" w:rsidR="001E1059" w:rsidRPr="001E1059" w:rsidRDefault="001E1059" w:rsidP="001E1059">
      <w:pPr>
        <w:pStyle w:val="AODocTxt"/>
        <w:tabs>
          <w:tab w:val="left" w:pos="1260"/>
        </w:tabs>
        <w:spacing w:before="0" w:line="240" w:lineRule="auto"/>
        <w:ind w:left="360" w:hanging="270"/>
        <w:jc w:val="both"/>
        <w:rPr>
          <w:rFonts w:cs="Times New Roman"/>
          <w:spacing w:val="-4"/>
          <w:sz w:val="24"/>
          <w:szCs w:val="24"/>
          <w:lang w:val="en-US"/>
        </w:rPr>
      </w:pPr>
      <w:r w:rsidRPr="001E1059">
        <w:rPr>
          <w:rFonts w:cs="Times New Roman"/>
          <w:spacing w:val="-2"/>
          <w:sz w:val="24"/>
          <w:szCs w:val="24"/>
        </w:rPr>
        <w:t>4.</w:t>
      </w:r>
      <w:r w:rsidRPr="001E1059">
        <w:rPr>
          <w:rFonts w:cs="Times New Roman"/>
          <w:spacing w:val="-2"/>
          <w:sz w:val="24"/>
          <w:szCs w:val="24"/>
        </w:rPr>
        <w:tab/>
      </w:r>
      <w:r w:rsidRPr="001E1059">
        <w:rPr>
          <w:rFonts w:cs="Times New Roman"/>
          <w:spacing w:val="-4"/>
          <w:sz w:val="24"/>
          <w:szCs w:val="24"/>
        </w:rPr>
        <w:t>To be eligible to approve investment in subsidiary companies for amounts not exceeding USD 5 million or the equivalent in any other currencies per company, per project. Approvable aggregate investment amount, after combining all investments, will not exceed USD 20 million or equivalent in any other currencies within a calendar year. Such investment transactions are required to be reported to the Board of Directors at the next board meeting.</w:t>
      </w:r>
    </w:p>
    <w:p w14:paraId="68E0713A" w14:textId="77777777" w:rsidR="001E1059" w:rsidRPr="001E1059" w:rsidRDefault="001E1059" w:rsidP="001E1059">
      <w:pPr>
        <w:pStyle w:val="AODocTxt"/>
        <w:tabs>
          <w:tab w:val="left" w:pos="1260"/>
        </w:tabs>
        <w:spacing w:before="0" w:line="240" w:lineRule="auto"/>
        <w:ind w:left="360" w:hanging="270"/>
        <w:jc w:val="both"/>
        <w:rPr>
          <w:rFonts w:cs="Times New Roman"/>
          <w:spacing w:val="-2"/>
          <w:sz w:val="24"/>
          <w:szCs w:val="24"/>
          <w:lang w:val="en-US"/>
        </w:rPr>
      </w:pPr>
      <w:r w:rsidRPr="001E1059">
        <w:rPr>
          <w:rFonts w:cs="Times New Roman"/>
          <w:spacing w:val="-2"/>
          <w:sz w:val="24"/>
          <w:szCs w:val="24"/>
        </w:rPr>
        <w:t xml:space="preserve">5. </w:t>
      </w:r>
      <w:r w:rsidRPr="001E1059">
        <w:rPr>
          <w:rFonts w:cs="Times New Roman"/>
          <w:spacing w:val="-2"/>
          <w:sz w:val="24"/>
          <w:szCs w:val="24"/>
        </w:rPr>
        <w:tab/>
        <w:t>To be eligible to appoint,</w:t>
      </w:r>
      <w:r w:rsidRPr="001E1059">
        <w:rPr>
          <w:rFonts w:cs="Times New Roman"/>
          <w:spacing w:val="-2"/>
          <w:sz w:val="24"/>
          <w:szCs w:val="24"/>
          <w:rtl/>
          <w:cs/>
        </w:rPr>
        <w:t xml:space="preserve"> </w:t>
      </w:r>
      <w:r w:rsidRPr="001E1059">
        <w:rPr>
          <w:rFonts w:cs="Times New Roman"/>
          <w:spacing w:val="-2"/>
          <w:sz w:val="24"/>
          <w:szCs w:val="24"/>
        </w:rPr>
        <w:t>promote, transfer or discharge directors and/or executives of subsidiary companies.</w:t>
      </w:r>
    </w:p>
    <w:p w14:paraId="6FDFBA85" w14:textId="77777777" w:rsidR="001E1059" w:rsidRPr="00FC5046" w:rsidRDefault="001E1059" w:rsidP="001E1059">
      <w:pPr>
        <w:pStyle w:val="AODocTxt"/>
        <w:spacing w:before="0" w:line="240" w:lineRule="auto"/>
        <w:ind w:left="360" w:hanging="270"/>
        <w:jc w:val="both"/>
        <w:rPr>
          <w:rFonts w:cs="Times New Roman"/>
          <w:spacing w:val="-2"/>
          <w:sz w:val="24"/>
          <w:szCs w:val="24"/>
        </w:rPr>
      </w:pPr>
      <w:r w:rsidRPr="00FC5046">
        <w:rPr>
          <w:rFonts w:cs="Times New Roman"/>
          <w:spacing w:val="-2"/>
          <w:sz w:val="24"/>
          <w:szCs w:val="24"/>
          <w:lang w:val="en-US"/>
        </w:rPr>
        <w:t>6.</w:t>
      </w:r>
      <w:r w:rsidRPr="00FC5046">
        <w:rPr>
          <w:rFonts w:cs="Times New Roman"/>
          <w:spacing w:val="-2"/>
          <w:sz w:val="24"/>
          <w:szCs w:val="24"/>
          <w:lang w:val="en-US"/>
        </w:rPr>
        <w:tab/>
      </w:r>
      <w:r w:rsidRPr="00FC5046">
        <w:rPr>
          <w:rFonts w:cs="Times New Roman"/>
          <w:spacing w:val="-2"/>
          <w:sz w:val="24"/>
          <w:szCs w:val="24"/>
        </w:rPr>
        <w:t xml:space="preserve">To authorize any one or more persons to perform any action under the supervision of the Executive </w:t>
      </w:r>
      <w:proofErr w:type="gramStart"/>
      <w:r w:rsidRPr="00FC5046">
        <w:rPr>
          <w:rFonts w:cs="Times New Roman"/>
          <w:spacing w:val="-2"/>
          <w:sz w:val="24"/>
          <w:szCs w:val="24"/>
        </w:rPr>
        <w:t>Committee, or</w:t>
      </w:r>
      <w:proofErr w:type="gramEnd"/>
      <w:r w:rsidRPr="00FC5046">
        <w:rPr>
          <w:rFonts w:cs="Times New Roman"/>
          <w:spacing w:val="-2"/>
          <w:sz w:val="24"/>
          <w:szCs w:val="24"/>
        </w:rPr>
        <w:t xml:space="preserve"> grant the power-of-attorney to such person(s) to perform any action within the specified time as the Executive Committee may see fit. However, the Executive Committee has sole discretion to revoke or modify such designated person or power-of-attorney as they may see fit.</w:t>
      </w:r>
    </w:p>
    <w:p w14:paraId="750384DD" w14:textId="77777777" w:rsidR="001E1059" w:rsidRPr="001E1059" w:rsidRDefault="001E1059" w:rsidP="001E1059">
      <w:pPr>
        <w:pStyle w:val="AODocTxt"/>
        <w:spacing w:before="0" w:line="240" w:lineRule="auto"/>
        <w:ind w:left="360"/>
        <w:jc w:val="both"/>
        <w:rPr>
          <w:rFonts w:cs="Times New Roman"/>
          <w:sz w:val="24"/>
          <w:szCs w:val="24"/>
        </w:rPr>
      </w:pPr>
      <w:r w:rsidRPr="00FC5046">
        <w:rPr>
          <w:rFonts w:cs="Times New Roman"/>
          <w:sz w:val="24"/>
          <w:szCs w:val="24"/>
        </w:rPr>
        <w:t>For this purpose, no authorization will enable a member of the Executive Committee under the power-of–</w:t>
      </w:r>
      <w:r w:rsidRPr="001E1059">
        <w:rPr>
          <w:rFonts w:cs="Times New Roman"/>
          <w:sz w:val="24"/>
          <w:szCs w:val="24"/>
        </w:rPr>
        <w:t>attorney and/or their sub power-of-attorney to approve a transaction which may cause a conflict of interest between such power-of-attorney or any related person (as defined in the SEC Notification) as the one party and the company or its subsidiary as the other party. An exception would be if it is granted in accordance with the company's normal course of business as clearly defined.</w:t>
      </w:r>
    </w:p>
    <w:p w14:paraId="32A38F7A" w14:textId="230CF890" w:rsidR="00EF2FA7" w:rsidRPr="001E1059" w:rsidRDefault="001E1059" w:rsidP="001E1059">
      <w:pPr>
        <w:ind w:left="360" w:hanging="360"/>
        <w:rPr>
          <w:rFonts w:ascii="Times New Roman" w:hAnsi="Times New Roman" w:cs="Times New Roman"/>
          <w:sz w:val="24"/>
          <w:szCs w:val="24"/>
          <w:lang w:val="en-GB"/>
        </w:rPr>
      </w:pPr>
      <w:r w:rsidRPr="001E1059">
        <w:rPr>
          <w:rFonts w:ascii="Times New Roman" w:hAnsi="Times New Roman" w:cs="Times New Roman"/>
          <w:spacing w:val="-2"/>
          <w:sz w:val="24"/>
          <w:szCs w:val="24"/>
        </w:rPr>
        <w:t xml:space="preserve">7. </w:t>
      </w:r>
      <w:r w:rsidRPr="001E1059">
        <w:rPr>
          <w:rFonts w:ascii="Times New Roman" w:hAnsi="Times New Roman" w:cs="Times New Roman"/>
          <w:spacing w:val="-2"/>
          <w:sz w:val="24"/>
          <w:szCs w:val="24"/>
          <w:cs/>
        </w:rPr>
        <w:tab/>
      </w:r>
      <w:r w:rsidRPr="001E1059">
        <w:rPr>
          <w:rFonts w:ascii="Times New Roman" w:hAnsi="Times New Roman" w:cs="Times New Roman"/>
          <w:spacing w:val="-2"/>
          <w:sz w:val="24"/>
          <w:szCs w:val="24"/>
        </w:rPr>
        <w:t>To perform any other duties assigned by the Board of Directors.</w:t>
      </w:r>
    </w:p>
    <w:sectPr w:rsidR="00EF2FA7" w:rsidRPr="001E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36525"/>
    <w:multiLevelType w:val="hybridMultilevel"/>
    <w:tmpl w:val="3176FB7A"/>
    <w:lvl w:ilvl="0" w:tplc="0809000F">
      <w:start w:val="1"/>
      <w:numFmt w:val="decimal"/>
      <w:lvlText w:val="%1."/>
      <w:lvlJc w:val="left"/>
      <w:pPr>
        <w:tabs>
          <w:tab w:val="num" w:pos="720"/>
        </w:tabs>
        <w:ind w:left="720" w:hanging="360"/>
      </w:pPr>
      <w:rPr>
        <w:rFonts w:hint="default"/>
      </w:rPr>
    </w:lvl>
    <w:lvl w:ilvl="1" w:tplc="0FF2F4DA">
      <w:start w:val="1"/>
      <w:numFmt w:val="lowerLetter"/>
      <w:lvlText w:val="(%2)"/>
      <w:lvlJc w:val="left"/>
      <w:pPr>
        <w:tabs>
          <w:tab w:val="num" w:pos="1440"/>
        </w:tabs>
        <w:ind w:left="1440" w:hanging="360"/>
      </w:pPr>
      <w:rPr>
        <w:rFonts w:hint="default"/>
      </w:rPr>
    </w:lvl>
    <w:lvl w:ilvl="2" w:tplc="108623E0">
      <w:start w:val="1"/>
      <w:numFmt w:val="decimal"/>
      <w:lvlText w:val="%3)"/>
      <w:lvlJc w:val="left"/>
      <w:pPr>
        <w:tabs>
          <w:tab w:val="num" w:pos="900"/>
        </w:tabs>
        <w:ind w:left="90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75B3203"/>
    <w:multiLevelType w:val="multilevel"/>
    <w:tmpl w:val="B0C2A8D8"/>
    <w:lvl w:ilvl="0">
      <w:start w:val="1"/>
      <w:numFmt w:val="none"/>
      <w:pStyle w:val="AODocTxt"/>
      <w:suff w:val="nothing"/>
      <w:lvlText w:val=""/>
      <w:lvlJc w:val="left"/>
      <w:pPr>
        <w:ind w:left="2520" w:firstLine="0"/>
      </w:pPr>
      <w:rPr>
        <w:lang w:val="en-GB" w:bidi="th-TH"/>
      </w:rPr>
    </w:lvl>
    <w:lvl w:ilvl="1">
      <w:start w:val="1"/>
      <w:numFmt w:val="none"/>
      <w:pStyle w:val="AODocTxtL1"/>
      <w:suff w:val="nothing"/>
      <w:lvlText w:val=""/>
      <w:lvlJc w:val="left"/>
      <w:pPr>
        <w:ind w:left="3240" w:firstLine="0"/>
      </w:pPr>
    </w:lvl>
    <w:lvl w:ilvl="2">
      <w:start w:val="1"/>
      <w:numFmt w:val="none"/>
      <w:pStyle w:val="AODocTxtL2"/>
      <w:suff w:val="nothing"/>
      <w:lvlText w:val=""/>
      <w:lvlJc w:val="left"/>
      <w:pPr>
        <w:ind w:left="3960" w:firstLine="0"/>
      </w:pPr>
    </w:lvl>
    <w:lvl w:ilvl="3">
      <w:start w:val="1"/>
      <w:numFmt w:val="none"/>
      <w:pStyle w:val="AODocTxtL3"/>
      <w:suff w:val="nothing"/>
      <w:lvlText w:val=""/>
      <w:lvlJc w:val="left"/>
      <w:pPr>
        <w:ind w:left="4680" w:firstLine="0"/>
      </w:pPr>
    </w:lvl>
    <w:lvl w:ilvl="4">
      <w:start w:val="1"/>
      <w:numFmt w:val="none"/>
      <w:pStyle w:val="AODocTxtL4"/>
      <w:suff w:val="nothing"/>
      <w:lvlText w:val=""/>
      <w:lvlJc w:val="left"/>
      <w:pPr>
        <w:ind w:left="5400" w:firstLine="0"/>
      </w:pPr>
    </w:lvl>
    <w:lvl w:ilvl="5">
      <w:start w:val="1"/>
      <w:numFmt w:val="none"/>
      <w:pStyle w:val="AODocTxtL5"/>
      <w:suff w:val="nothing"/>
      <w:lvlText w:val=""/>
      <w:lvlJc w:val="left"/>
      <w:pPr>
        <w:ind w:left="6120" w:firstLine="0"/>
      </w:pPr>
    </w:lvl>
    <w:lvl w:ilvl="6">
      <w:start w:val="1"/>
      <w:numFmt w:val="none"/>
      <w:pStyle w:val="AODocTxtL6"/>
      <w:suff w:val="nothing"/>
      <w:lvlText w:val=""/>
      <w:lvlJc w:val="left"/>
      <w:pPr>
        <w:ind w:left="6840" w:firstLine="0"/>
      </w:pPr>
    </w:lvl>
    <w:lvl w:ilvl="7">
      <w:start w:val="1"/>
      <w:numFmt w:val="none"/>
      <w:pStyle w:val="AODocTxtL7"/>
      <w:suff w:val="nothing"/>
      <w:lvlText w:val=""/>
      <w:lvlJc w:val="left"/>
      <w:pPr>
        <w:ind w:left="7560" w:firstLine="0"/>
      </w:pPr>
    </w:lvl>
    <w:lvl w:ilvl="8">
      <w:start w:val="1"/>
      <w:numFmt w:val="none"/>
      <w:pStyle w:val="AODocTxtL8"/>
      <w:suff w:val="nothing"/>
      <w:lvlText w:val=""/>
      <w:lvlJc w:val="left"/>
      <w:pPr>
        <w:ind w:left="8280" w:firstLine="0"/>
      </w:pPr>
    </w:lvl>
  </w:abstractNum>
  <w:abstractNum w:abstractNumId="2" w15:restartNumberingAfterBreak="0">
    <w:nsid w:val="59BC41D0"/>
    <w:multiLevelType w:val="hybridMultilevel"/>
    <w:tmpl w:val="95E289CC"/>
    <w:lvl w:ilvl="0" w:tplc="0409000F">
      <w:start w:val="1"/>
      <w:numFmt w:val="decimal"/>
      <w:lvlText w:val="%1."/>
      <w:lvlJc w:val="left"/>
      <w:pPr>
        <w:tabs>
          <w:tab w:val="num" w:pos="720"/>
        </w:tabs>
        <w:ind w:left="720" w:hanging="360"/>
      </w:pPr>
      <w:rPr>
        <w:rFonts w:hint="default"/>
      </w:rPr>
    </w:lvl>
    <w:lvl w:ilvl="1" w:tplc="0FF2F4DA">
      <w:start w:val="1"/>
      <w:numFmt w:val="lowerLetter"/>
      <w:lvlText w:val="(%2)"/>
      <w:lvlJc w:val="left"/>
      <w:pPr>
        <w:tabs>
          <w:tab w:val="num" w:pos="1440"/>
        </w:tabs>
        <w:ind w:left="1440" w:hanging="360"/>
      </w:pPr>
      <w:rPr>
        <w:rFonts w:hint="default"/>
      </w:rPr>
    </w:lvl>
    <w:lvl w:ilvl="2" w:tplc="108623E0">
      <w:start w:val="1"/>
      <w:numFmt w:val="decimal"/>
      <w:lvlText w:val="%3)"/>
      <w:lvlJc w:val="left"/>
      <w:pPr>
        <w:tabs>
          <w:tab w:val="num" w:pos="900"/>
        </w:tabs>
        <w:ind w:left="90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5771174">
    <w:abstractNumId w:val="1"/>
  </w:num>
  <w:num w:numId="2" w16cid:durableId="1523861600">
    <w:abstractNumId w:val="2"/>
  </w:num>
  <w:num w:numId="3" w16cid:durableId="127620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B8"/>
    <w:rsid w:val="001E1059"/>
    <w:rsid w:val="00CA3DF4"/>
    <w:rsid w:val="00DB4FB8"/>
    <w:rsid w:val="00EF2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1270"/>
  <w15:chartTrackingRefBased/>
  <w15:docId w15:val="{F653F2C9-D156-4DE5-88D7-9A422ABB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B8"/>
    <w:pPr>
      <w:spacing w:after="0" w:line="240" w:lineRule="auto"/>
    </w:pPr>
    <w:rPr>
      <w:rFonts w:ascii="Cordia New" w:eastAsia="Cordia New" w:hAnsi="Cordia New" w:cs="Cordia New"/>
      <w:sz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4FB8"/>
    <w:pPr>
      <w:jc w:val="both"/>
    </w:pPr>
    <w:rPr>
      <w:rFonts w:ascii="Times New Roman" w:hAnsi="Times New Roman" w:cs="AngsanaUPC"/>
      <w:sz w:val="32"/>
      <w:szCs w:val="32"/>
    </w:rPr>
  </w:style>
  <w:style w:type="character" w:customStyle="1" w:styleId="BodyTextChar">
    <w:name w:val="Body Text Char"/>
    <w:basedOn w:val="DefaultParagraphFont"/>
    <w:link w:val="BodyText"/>
    <w:rsid w:val="00DB4FB8"/>
    <w:rPr>
      <w:rFonts w:ascii="Times New Roman" w:eastAsia="Cordia New" w:hAnsi="Times New Roman" w:cs="AngsanaUPC"/>
      <w:sz w:val="32"/>
      <w:szCs w:val="32"/>
      <w:lang w:bidi="th-TH"/>
    </w:rPr>
  </w:style>
  <w:style w:type="paragraph" w:customStyle="1" w:styleId="AODocTxt">
    <w:name w:val="AODocTxt"/>
    <w:basedOn w:val="Normal"/>
    <w:link w:val="AODocTxtChar"/>
    <w:rsid w:val="00DB4FB8"/>
    <w:pPr>
      <w:numPr>
        <w:numId w:val="1"/>
      </w:numPr>
      <w:spacing w:before="240" w:line="260" w:lineRule="atLeast"/>
    </w:pPr>
    <w:rPr>
      <w:rFonts w:ascii="Times New Roman" w:eastAsia="SimSun" w:hAnsi="Times New Roman" w:cs="Angsana New"/>
      <w:sz w:val="22"/>
      <w:szCs w:val="22"/>
      <w:lang w:val="en-GB" w:bidi="ar-SA"/>
    </w:rPr>
  </w:style>
  <w:style w:type="paragraph" w:customStyle="1" w:styleId="AODocTxtL1">
    <w:name w:val="AODocTxtL1"/>
    <w:basedOn w:val="AODocTxt"/>
    <w:rsid w:val="00DB4FB8"/>
    <w:pPr>
      <w:numPr>
        <w:ilvl w:val="1"/>
      </w:numPr>
    </w:pPr>
  </w:style>
  <w:style w:type="paragraph" w:customStyle="1" w:styleId="AODocTxtL2">
    <w:name w:val="AODocTxtL2"/>
    <w:basedOn w:val="AODocTxt"/>
    <w:rsid w:val="00DB4FB8"/>
    <w:pPr>
      <w:numPr>
        <w:ilvl w:val="2"/>
      </w:numPr>
    </w:pPr>
  </w:style>
  <w:style w:type="paragraph" w:customStyle="1" w:styleId="AODocTxtL3">
    <w:name w:val="AODocTxtL3"/>
    <w:basedOn w:val="AODocTxt"/>
    <w:rsid w:val="00DB4FB8"/>
    <w:pPr>
      <w:numPr>
        <w:ilvl w:val="3"/>
      </w:numPr>
    </w:pPr>
  </w:style>
  <w:style w:type="paragraph" w:customStyle="1" w:styleId="AODocTxtL4">
    <w:name w:val="AODocTxtL4"/>
    <w:basedOn w:val="AODocTxt"/>
    <w:rsid w:val="00DB4FB8"/>
    <w:pPr>
      <w:numPr>
        <w:ilvl w:val="4"/>
      </w:numPr>
    </w:pPr>
  </w:style>
  <w:style w:type="paragraph" w:customStyle="1" w:styleId="AODocTxtL5">
    <w:name w:val="AODocTxtL5"/>
    <w:basedOn w:val="AODocTxt"/>
    <w:rsid w:val="00DB4FB8"/>
    <w:pPr>
      <w:numPr>
        <w:ilvl w:val="5"/>
      </w:numPr>
    </w:pPr>
  </w:style>
  <w:style w:type="paragraph" w:customStyle="1" w:styleId="AODocTxtL6">
    <w:name w:val="AODocTxtL6"/>
    <w:basedOn w:val="AODocTxt"/>
    <w:rsid w:val="00DB4FB8"/>
    <w:pPr>
      <w:numPr>
        <w:ilvl w:val="6"/>
      </w:numPr>
    </w:pPr>
  </w:style>
  <w:style w:type="paragraph" w:customStyle="1" w:styleId="AODocTxtL7">
    <w:name w:val="AODocTxtL7"/>
    <w:basedOn w:val="AODocTxt"/>
    <w:rsid w:val="00DB4FB8"/>
    <w:pPr>
      <w:numPr>
        <w:ilvl w:val="7"/>
      </w:numPr>
    </w:pPr>
  </w:style>
  <w:style w:type="paragraph" w:customStyle="1" w:styleId="AODocTxtL8">
    <w:name w:val="AODocTxtL8"/>
    <w:basedOn w:val="AODocTxt"/>
    <w:rsid w:val="00DB4FB8"/>
    <w:pPr>
      <w:numPr>
        <w:ilvl w:val="8"/>
      </w:numPr>
    </w:pPr>
  </w:style>
  <w:style w:type="character" w:customStyle="1" w:styleId="AODocTxtChar">
    <w:name w:val="AODocTxt Char"/>
    <w:link w:val="AODocTxt"/>
    <w:rsid w:val="00DB4FB8"/>
    <w:rPr>
      <w:rFonts w:ascii="Times New Roman" w:eastAsia="SimSun" w:hAnsi="Times New Roman" w:cs="Angsana New"/>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CLink xmlns="http://schemas.microsoft.com/sharepoint/v3">
      <Url xsi:nil="true"/>
      <Description xsi:nil="true"/>
    </UNCLink>
    <IconOverlay xmlns="http://schemas.microsoft.com/sharepoint/v4" xsi:nil="true"/>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F41FB571DE14B91383A33A0B19FEA" ma:contentTypeVersion="3" ma:contentTypeDescription="Create a new document." ma:contentTypeScope="" ma:versionID="513f1d6e8fbe5f9570a5e7f9b25876d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6a0538644497459f8719ccccc406e22a"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1:UNCLink"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element name="UNCLink" ma:index="9" nillable="true" ma:displayName="UNC Link" ma:hidden="true" ma:internalName="UNC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36473-C3EC-425F-8C68-3BE76A1EAF87}">
  <ds:schemaRefs>
    <ds:schemaRef ds:uri="http://schemas.microsoft.com/sharepoint/v4"/>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A224A79-30E2-453C-B3F7-4CF9593B4E92}">
  <ds:schemaRefs>
    <ds:schemaRef ds:uri="http://schemas.microsoft.com/sharepoint/v3/contenttype/forms"/>
  </ds:schemaRefs>
</ds:datastoreItem>
</file>

<file path=customXml/itemProps3.xml><?xml version="1.0" encoding="utf-8"?>
<ds:datastoreItem xmlns:ds="http://schemas.openxmlformats.org/officeDocument/2006/customXml" ds:itemID="{3F199493-BED2-41E1-98A7-F018591AF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2557</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Supinya</dc:creator>
  <cp:keywords/>
  <dc:description/>
  <cp:lastModifiedBy>Supinya</cp:lastModifiedBy>
  <cp:revision>3</cp:revision>
  <dcterms:created xsi:type="dcterms:W3CDTF">2022-11-16T10:12:00Z</dcterms:created>
  <dcterms:modified xsi:type="dcterms:W3CDTF">2023-08-08T11:41:00Z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0x010100EE4F41FB571DE14B91383A33A0B19FEA</vt:lpwstr>
  </property>
</Properties>
</file>